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E2" w:rsidRDefault="009B6CE2" w:rsidP="009B6CE2">
      <w:pPr>
        <w:tabs>
          <w:tab w:val="left" w:pos="567"/>
        </w:tabs>
        <w:spacing w:after="120"/>
        <w:jc w:val="center"/>
        <w:rPr>
          <w:b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D0541" wp14:editId="16CF6588">
                <wp:simplePos x="0" y="0"/>
                <wp:positionH relativeFrom="column">
                  <wp:posOffset>3003550</wp:posOffset>
                </wp:positionH>
                <wp:positionV relativeFrom="paragraph">
                  <wp:posOffset>-572770</wp:posOffset>
                </wp:positionV>
                <wp:extent cx="3256547" cy="738664"/>
                <wp:effectExtent l="0" t="0" r="0" b="0"/>
                <wp:wrapNone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547" cy="7386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6CE2" w:rsidRPr="00CB1E05" w:rsidRDefault="009B6CE2" w:rsidP="009B6CE2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ПРИЛОЖЕНИЕ 4</w:t>
                            </w:r>
                          </w:p>
                          <w:p w:rsidR="009B6CE2" w:rsidRPr="00CB1E05" w:rsidRDefault="009B6CE2" w:rsidP="009B6CE2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F7419C">
                              <w:rPr>
                                <w:b/>
                                <w:lang w:val="ru-RU"/>
                              </w:rPr>
                              <w:t xml:space="preserve">к Распоряжению </w:t>
                            </w:r>
                          </w:p>
                          <w:p w:rsidR="009B6CE2" w:rsidRDefault="009B6CE2" w:rsidP="009B6CE2">
                            <w:pPr>
                              <w:pStyle w:val="a3"/>
                              <w:spacing w:before="0" w:beforeAutospacing="0" w:after="0" w:afterAutospacing="0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D054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36.5pt;margin-top:-45.1pt;width:256.4pt;height:5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" filled="f" stroked="f">
                <v:textbox style="mso-fit-shape-to-text:t" inset="0,0,0,0">
                  <w:txbxContent>
                    <w:p w:rsidR="009B6CE2" w:rsidRPr="00CB1E05" w:rsidRDefault="009B6CE2" w:rsidP="009B6CE2">
                      <w:pPr>
                        <w:pStyle w:val="a3"/>
                        <w:spacing w:before="0" w:beforeAutospacing="0" w:after="0" w:afterAutospacing="0"/>
                        <w:jc w:val="right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ПРИЛОЖЕНИЕ 4</w:t>
                      </w:r>
                    </w:p>
                    <w:p w:rsidR="009B6CE2" w:rsidRPr="00CB1E05" w:rsidRDefault="009B6CE2" w:rsidP="009B6CE2">
                      <w:pPr>
                        <w:jc w:val="right"/>
                        <w:rPr>
                          <w:b/>
                        </w:rPr>
                      </w:pPr>
                      <w:r w:rsidRPr="00F7419C">
                        <w:rPr>
                          <w:b/>
                          <w:lang w:val="ru-RU"/>
                        </w:rPr>
                        <w:t xml:space="preserve">к Распоряжению </w:t>
                      </w:r>
                    </w:p>
                    <w:p w:rsidR="009B6CE2" w:rsidRDefault="009B6CE2" w:rsidP="009B6CE2">
                      <w:pPr>
                        <w:pStyle w:val="a3"/>
                        <w:spacing w:before="0" w:beforeAutospacing="0" w:after="0" w:afterAutospacing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CE2" w:rsidRDefault="009B6CE2" w:rsidP="009B6CE2">
      <w:pPr>
        <w:tabs>
          <w:tab w:val="left" w:pos="567"/>
        </w:tabs>
        <w:spacing w:after="120"/>
        <w:jc w:val="center"/>
        <w:rPr>
          <w:b/>
          <w:sz w:val="24"/>
          <w:lang w:val="ru-RU"/>
        </w:rPr>
      </w:pPr>
    </w:p>
    <w:p w:rsidR="009B6CE2" w:rsidRPr="00F33FFC" w:rsidRDefault="009B6CE2" w:rsidP="009B6CE2">
      <w:pPr>
        <w:tabs>
          <w:tab w:val="left" w:pos="567"/>
        </w:tabs>
        <w:spacing w:after="120"/>
        <w:jc w:val="center"/>
        <w:rPr>
          <w:sz w:val="24"/>
          <w:lang w:val="ru-RU"/>
        </w:rPr>
      </w:pPr>
      <w:r w:rsidRPr="00BD104B">
        <w:rPr>
          <w:b/>
          <w:sz w:val="24"/>
          <w:lang w:val="ru-RU"/>
        </w:rPr>
        <w:t xml:space="preserve">ПРАВИЛА ПРОВЕДЕНИЯ И УСЛОВИЯ УЧАСТИЯ В </w:t>
      </w:r>
      <w:r>
        <w:rPr>
          <w:b/>
          <w:sz w:val="24"/>
          <w:lang w:val="ru-RU"/>
        </w:rPr>
        <w:t>АКЦИИ</w:t>
      </w:r>
      <w:r>
        <w:rPr>
          <w:b/>
          <w:sz w:val="24"/>
          <w:lang w:val="ru-RU"/>
        </w:rPr>
        <w:br/>
        <w:t>«</w:t>
      </w:r>
      <w:r w:rsidRPr="00791139">
        <w:rPr>
          <w:b/>
          <w:sz w:val="24"/>
          <w:lang w:val="ru-RU"/>
        </w:rPr>
        <w:t xml:space="preserve">1000 бонусов СберБизнес Спасибо за Первую сделку ОТС РЕПО» </w:t>
      </w:r>
      <w:r>
        <w:rPr>
          <w:b/>
          <w:sz w:val="24"/>
          <w:lang w:val="ru-RU"/>
        </w:rPr>
        <w:t xml:space="preserve"> </w:t>
      </w:r>
      <w:r w:rsidRPr="00D41BB2">
        <w:rPr>
          <w:b/>
          <w:sz w:val="24"/>
          <w:lang w:val="ru-RU"/>
        </w:rPr>
        <w:t>(далее – «Правила»)</w:t>
      </w:r>
    </w:p>
    <w:p w:rsidR="009B6CE2" w:rsidRPr="00F7419C" w:rsidRDefault="009B6CE2" w:rsidP="009B6CE2">
      <w:pPr>
        <w:pStyle w:val="1"/>
        <w:keepNext w:val="0"/>
        <w:keepLines w:val="0"/>
        <w:numPr>
          <w:ilvl w:val="0"/>
          <w:numId w:val="3"/>
        </w:numPr>
        <w:rPr>
          <w:b/>
          <w:color w:val="000000" w:themeColor="text1"/>
          <w:sz w:val="22"/>
          <w:szCs w:val="22"/>
        </w:rPr>
      </w:pPr>
      <w:r w:rsidRPr="00F7419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ОСНОВНЫЕ ПОЛОЖЕНИЯ</w:t>
      </w:r>
    </w:p>
    <w:p w:rsidR="009B6CE2" w:rsidRPr="00D50D1D" w:rsidRDefault="009B6CE2" w:rsidP="009B6CE2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Акция </w:t>
      </w:r>
      <w:r w:rsidRPr="007F1D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«1000 бонусов СберБизнес Спасибо за Первую сделку ОТС</w:t>
      </w:r>
      <w:r w:rsidR="008B665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7F1D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РЕПО» </w:t>
      </w: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(далее – «Акция») направлена на продвижение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брокерского обслуживания юридических лиц и сделок ОТС-РЕПО</w:t>
      </w: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Банке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</w:t>
      </w: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является стимулирующим мероприятием, не является публичным конкурсом по смыслу гл. 57 Гражданского кодекса РФ, не является лотереей по смыслу Федерального закона РФ от 11.11.2003 № 138-ФЗ «О лотереях» и не является публичной офертой по смыслу ст. 437 Гражданского кодекса РФ.</w:t>
      </w:r>
    </w:p>
    <w:p w:rsidR="009B6CE2" w:rsidRDefault="009B6CE2" w:rsidP="009B6CE2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Акция проводится в порядке и на условиях, определенных настоящими Правилами.</w:t>
      </w:r>
    </w:p>
    <w:p w:rsidR="009B6CE2" w:rsidRDefault="009B6CE2" w:rsidP="009B6CE2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8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рамках настоящей Акции Банк осуществляет действия по вручению поощрений в размере, указанном в п.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CC48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.1. настоящих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</w:t>
      </w:r>
      <w:r w:rsidRPr="00CC48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путем зачисления Бонусов на Бонусный счет Участника Программы лояльности «СберБизнес Спасибо», который является Участником Акции.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9B6CE2" w:rsidRPr="00D81D2B" w:rsidRDefault="009B6CE2" w:rsidP="009B6CE2">
      <w:pPr>
        <w:pStyle w:val="1"/>
        <w:keepNext w:val="0"/>
        <w:keepLines w:val="0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D81D2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ТЕРМИНЫ И ОПРЕДЕЛЕНИЯ:</w:t>
      </w:r>
    </w:p>
    <w:p w:rsidR="009B6CE2" w:rsidRPr="00247BF6" w:rsidRDefault="009B6CE2" w:rsidP="009B6CE2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Банк/</w:t>
      </w: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Организатор– ПАО Сбербанк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Адрес местонахождения/почтовый адрес: 117997, г. Москва, ул. Вавилова, д. 19. ИНН: </w:t>
      </w:r>
      <w:r w:rsidRPr="00B606E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7707083893, КПП: 775001001, ОГРН: 1027700132195. Генеральная лицензия Банка России на осуществление банковских операций № 1481 от 11.08.2015, К/С:30101810400000000225, БИК: 044525225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B606E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:rsidR="009B6CE2" w:rsidRPr="00B606EF" w:rsidRDefault="009B6CE2" w:rsidP="009B6CE2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606E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Бонус –</w:t>
      </w:r>
      <w:r w:rsidR="008B665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C48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условная единица, начисляемая Банком на Бонусный счет Программы Участника Акции с целью получения Поощрения Акции. Бонусы начисляются с возможностью конвертации в рубли по курсу 1 бонус = 1 рублю и/или возмещения стоимости покупок у партнеров Программы.</w:t>
      </w:r>
    </w:p>
    <w:p w:rsidR="009B6CE2" w:rsidRDefault="009B6CE2" w:rsidP="009B6CE2">
      <w:pPr>
        <w:pStyle w:val="1"/>
        <w:keepNext w:val="0"/>
        <w:keepLines w:val="0"/>
        <w:numPr>
          <w:ilvl w:val="1"/>
          <w:numId w:val="3"/>
        </w:numPr>
        <w:jc w:val="both"/>
        <w:rPr>
          <w:sz w:val="16"/>
          <w:szCs w:val="16"/>
          <w:lang w:val="ru-RU"/>
        </w:rPr>
      </w:pPr>
      <w:r w:rsidRPr="00B606E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Бонусный счет –</w:t>
      </w:r>
      <w:r w:rsidRPr="000F0E1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C48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учетная запись в базе данных Программы лояльности «СберБизнес Спасибо», формируемая и администрируемая Банком по каждому Участнику Программы лояльности «СберБизнес Спасибо» отдельно, в целях отражения информации о количестве начисленных/списанных и аннулированных Бонусов и оснований для такого начисления/списания (история бонусного счета). Бонусный счет не является банковским счетом. Начисляемые Банком Бонусы учитываются на одном Бонусном счете Участника Программы лояльности «СберБизнес Спасибо» и отражаются в Разделе «Программа лояльности» в Системе ДБО</w:t>
      </w:r>
      <w:r w:rsidR="00BE34A8">
        <w:rPr>
          <w:sz w:val="16"/>
          <w:szCs w:val="16"/>
          <w:lang w:val="ru-RU"/>
        </w:rPr>
        <w:t>.</w:t>
      </w:r>
    </w:p>
    <w:p w:rsidR="00BE34A8" w:rsidRPr="00BE34A8" w:rsidRDefault="00BE34A8" w:rsidP="00BE34A8">
      <w:pPr>
        <w:rPr>
          <w:lang w:val="ru-RU"/>
        </w:rPr>
      </w:pPr>
    </w:p>
    <w:p w:rsidR="00BE34A8" w:rsidRDefault="00BE34A8" w:rsidP="00BE34A8">
      <w:pPr>
        <w:pStyle w:val="a4"/>
        <w:numPr>
          <w:ilvl w:val="1"/>
          <w:numId w:val="3"/>
        </w:numPr>
        <w:rPr>
          <w:rFonts w:eastAsiaTheme="majorEastAsia"/>
          <w:color w:val="000000" w:themeColor="text1"/>
          <w:sz w:val="24"/>
          <w:szCs w:val="24"/>
          <w:lang w:val="ru-RU"/>
        </w:rPr>
      </w:pPr>
      <w:r w:rsidRPr="00BE34A8">
        <w:rPr>
          <w:rFonts w:eastAsiaTheme="majorEastAsia"/>
          <w:color w:val="000000" w:themeColor="text1"/>
          <w:sz w:val="24"/>
          <w:szCs w:val="24"/>
          <w:lang w:val="ru-RU"/>
        </w:rPr>
        <w:t>Брокерский счет –  совокупность счетов внутреннего учета, открываемых Инвестору Банком в связи с заключением Договора о брокерском обслуживании для учета Активов, Обязательств Инвестора, а также сделок и операций, совершаемых в соответствии с Условиями предоставления брокерских и иных услуг ПАО Сбербанк (далее - Условия брокерского обслуживания) , размещенных на сайте Банка https://www.sberbank.com/ru/legal/investments/broker_service/marketsandservices?tab=docs .</w:t>
      </w:r>
    </w:p>
    <w:p w:rsidR="00BE34A8" w:rsidRPr="00BE34A8" w:rsidRDefault="00BE34A8" w:rsidP="00BE34A8">
      <w:pPr>
        <w:pStyle w:val="a4"/>
        <w:rPr>
          <w:rFonts w:eastAsiaTheme="majorEastAsia"/>
          <w:color w:val="000000" w:themeColor="text1"/>
          <w:sz w:val="24"/>
          <w:szCs w:val="24"/>
          <w:lang w:val="ru-RU"/>
        </w:rPr>
      </w:pPr>
    </w:p>
    <w:p w:rsidR="00BE34A8" w:rsidRDefault="00BE34A8" w:rsidP="00BE34A8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B6C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Инвестор 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9B6C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юридическое лицо, в отношении которого проведена совокупность мероприятий по установлению определенных Федеральным законом от 07.08.2001 № 115-ФЗ «О противодействии легализации (отмыванию) доходов, полученных преступным путем, и финансированию терроризма» сведений об Инвесторе, его представителях, выгодоприобретателях, бенефициарных владельцах и подтверждению достоверности этих сведений с использованием оригиналов документов и (или) надлежащим 8 образом заверенных копий и (или) государственных и иных информационных систем, а также обновлению таких сведений в установленном порядке. </w:t>
      </w:r>
    </w:p>
    <w:p w:rsidR="00BE34A8" w:rsidRPr="000A58CA" w:rsidRDefault="00BE34A8" w:rsidP="00BE34A8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A58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Программа лояльности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Pr="00FD6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СберБизнес Спасибо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(Программа лояльности) - программа лояльности, реализуемая Банком на основании правил, размещенных на официальном сайте Банка </w:t>
      </w:r>
      <w:r w:rsidRPr="009621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странице сайта </w:t>
      </w:r>
      <w:hyperlink r:id="rId6" w:history="1">
        <w:r w:rsidRPr="009B6CE2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https://www.sberbank.ru/ru/s_m_business/spasibo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E34A8" w:rsidRDefault="00BE34A8" w:rsidP="00BE34A8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627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Поощрение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Pr="00A627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Бонусы, зачисляемые Банком на Бонусный счет Участника Акции при условии выполнения им действий предусмотренных разделом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 </w:t>
      </w:r>
      <w:r w:rsidRPr="00A627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Правил.</w:t>
      </w:r>
    </w:p>
    <w:p w:rsidR="00BE34A8" w:rsidRPr="00A62776" w:rsidRDefault="00BE34A8" w:rsidP="00BE34A8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627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Расчетный счет – расчетный счет (за исключением счетов, указанных в п. 2.1 Приложения 1 к правилам Программы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лояльности «СберБизнес Спасибо»</w:t>
      </w:r>
      <w:r w:rsidRPr="00A627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в валюте Российской Федерации Участника Программы лояльности, открытый в Банке на Территории Программы для совершения расчетов, связанных с предпринимательской деятельностью или частной практикой.</w:t>
      </w:r>
    </w:p>
    <w:p w:rsidR="00BE34A8" w:rsidRPr="00BE34A8" w:rsidRDefault="00BE34A8" w:rsidP="00BE34A8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Система «Сбербанк Бизнес Онлайн» («СберБизнес») – система «Сбербанк Бизнес Онлайн», принадлежащая Банку, предоставленная к использованию клиентам Банка на основании договора о предоставлении услуг с использованием Системы согласно «Условиям предоставления услуг с использованием системы дистанционного банковского обслуживания ПАО Сбербанк юридическим лицам, индивидуальным предпринимателям и физическим лицам, занимающимся частной практикой в порядке, установленном законодательством Российской Федерации», опубликованным на официальном сайте Банка в сети Интернет </w:t>
      </w:r>
      <w:hyperlink r:id="rId7" w:history="1">
        <w:r w:rsidRPr="00BA4182">
          <w:rPr>
            <w:rStyle w:val="a6"/>
            <w:sz w:val="24"/>
            <w:szCs w:val="24"/>
            <w:lang w:val="en-US"/>
          </w:rPr>
          <w:t>www</w:t>
        </w:r>
        <w:r w:rsidRPr="00BA4182">
          <w:rPr>
            <w:rStyle w:val="a6"/>
            <w:sz w:val="24"/>
            <w:szCs w:val="24"/>
            <w:lang w:val="ru-RU"/>
          </w:rPr>
          <w:t>.</w:t>
        </w:r>
        <w:r w:rsidRPr="00BA4182">
          <w:rPr>
            <w:rStyle w:val="a6"/>
            <w:sz w:val="24"/>
            <w:szCs w:val="24"/>
            <w:lang w:val="en-US"/>
          </w:rPr>
          <w:t>sberbank</w:t>
        </w:r>
        <w:r w:rsidRPr="00BA4182">
          <w:rPr>
            <w:rStyle w:val="a6"/>
            <w:sz w:val="24"/>
            <w:szCs w:val="24"/>
            <w:lang w:val="ru-RU"/>
          </w:rPr>
          <w:t>.</w:t>
        </w:r>
        <w:r w:rsidRPr="00BA4182">
          <w:rPr>
            <w:rStyle w:val="a6"/>
            <w:sz w:val="24"/>
            <w:szCs w:val="24"/>
            <w:lang w:val="en-US"/>
          </w:rPr>
          <w:t>ru</w:t>
        </w:r>
      </w:hyperlink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9B6CE2" w:rsidRDefault="009B6CE2" w:rsidP="009B6CE2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Сделка ОТС-РЕПО </w:t>
      </w:r>
      <w:r w:rsidRPr="003362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договор, по которому Продавец обязуется в срок, установленный этим договором, передать в собственность Покупателя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(Участник Акции)</w:t>
      </w:r>
      <w:r w:rsidRPr="003362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Пакет Ценных бумаг, а Покупатель обязуется принять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Pr="003362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акет Ценных бумаг и уплатить за него Сумму покупки Сделки ОТС-РЕПО («Первая часть Сделки ОТС-РЕПО») и по которому Покупатель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(Участник Акции)</w:t>
      </w:r>
      <w:r w:rsidRPr="003362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обязуется в срок, установленный этим договором, передать Пакет Ценных бумаг в собственность Продавца, а Продавец обязуется принять Пакет Ценных бумаг, уплатить за него Сумму выкупа Сделки ОТС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3362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РЕПО («Вторая часть Сделки ОТС-РЕПО»)</w:t>
      </w:r>
      <w:r w:rsidR="00BE34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С условиями Сделки клиент может ознакомится в «СберБанк Бизнес Онлайн»</w:t>
      </w:r>
    </w:p>
    <w:p w:rsidR="00BE34A8" w:rsidRPr="00BE34A8" w:rsidRDefault="00BE34A8" w:rsidP="00BE34A8">
      <w:pPr>
        <w:rPr>
          <w:lang w:val="ru-RU"/>
        </w:rPr>
      </w:pPr>
    </w:p>
    <w:p w:rsidR="009B6CE2" w:rsidRDefault="00BE34A8" w:rsidP="009B6CE2">
      <w:pPr>
        <w:pStyle w:val="a4"/>
        <w:numPr>
          <w:ilvl w:val="1"/>
          <w:numId w:val="3"/>
        </w:numPr>
        <w:rPr>
          <w:rFonts w:eastAsiaTheme="majorEastAsia"/>
          <w:color w:val="000000" w:themeColor="text1"/>
          <w:sz w:val="24"/>
          <w:szCs w:val="24"/>
          <w:lang w:val="ru-RU"/>
        </w:rPr>
      </w:pPr>
      <w:r>
        <w:rPr>
          <w:rFonts w:eastAsiaTheme="majorEastAsia"/>
          <w:color w:val="000000" w:themeColor="text1"/>
          <w:sz w:val="24"/>
          <w:szCs w:val="24"/>
          <w:lang w:val="ru-RU"/>
        </w:rPr>
        <w:t>Пакет Ценных бумаг – Ценные бу</w:t>
      </w:r>
      <w:r w:rsidR="009B6CE2" w:rsidRPr="009B6CE2">
        <w:rPr>
          <w:rFonts w:eastAsiaTheme="majorEastAsia"/>
          <w:color w:val="000000" w:themeColor="text1"/>
          <w:sz w:val="24"/>
          <w:szCs w:val="24"/>
          <w:lang w:val="ru-RU"/>
        </w:rPr>
        <w:t>маг, совокупность которых Стороны обязуются передать по Сделке ОТС-РЕПО.</w:t>
      </w:r>
    </w:p>
    <w:p w:rsidR="00BE34A8" w:rsidRPr="00BE34A8" w:rsidRDefault="00BE34A8" w:rsidP="00BE34A8">
      <w:pPr>
        <w:rPr>
          <w:rFonts w:eastAsiaTheme="majorEastAsia"/>
          <w:color w:val="000000" w:themeColor="text1"/>
          <w:sz w:val="24"/>
          <w:szCs w:val="24"/>
          <w:lang w:val="ru-RU"/>
        </w:rPr>
      </w:pPr>
    </w:p>
    <w:p w:rsidR="009B6CE2" w:rsidRDefault="009B6CE2" w:rsidP="009B6CE2">
      <w:pPr>
        <w:pStyle w:val="a4"/>
        <w:numPr>
          <w:ilvl w:val="1"/>
          <w:numId w:val="3"/>
        </w:numPr>
        <w:rPr>
          <w:rFonts w:eastAsiaTheme="majorEastAsia"/>
          <w:color w:val="000000" w:themeColor="text1"/>
          <w:sz w:val="24"/>
          <w:szCs w:val="24"/>
          <w:lang w:val="ru-RU"/>
        </w:rPr>
      </w:pPr>
      <w:r w:rsidRPr="009B6CE2">
        <w:rPr>
          <w:rFonts w:eastAsiaTheme="majorEastAsia"/>
          <w:color w:val="000000" w:themeColor="text1"/>
          <w:sz w:val="24"/>
          <w:szCs w:val="24"/>
          <w:lang w:val="ru-RU"/>
        </w:rPr>
        <w:t>Сумма покупки Сделки ОТС-РЕПО (Сумма покупки) – сумма денежных средств, подлежащая уплате Покупателем по Сделке ОТС-РЕПО Продавцу по Сделке ОТС-РЕПО при исполнении обязательств по Первой части Сделки ОТС-РЕПО.</w:t>
      </w:r>
    </w:p>
    <w:p w:rsidR="00BE34A8" w:rsidRPr="00BE34A8" w:rsidRDefault="00BE34A8" w:rsidP="00BE34A8">
      <w:pPr>
        <w:rPr>
          <w:rFonts w:eastAsiaTheme="majorEastAsia"/>
          <w:color w:val="000000" w:themeColor="text1"/>
          <w:sz w:val="24"/>
          <w:szCs w:val="24"/>
          <w:lang w:val="ru-RU"/>
        </w:rPr>
      </w:pPr>
    </w:p>
    <w:p w:rsidR="009B6CE2" w:rsidRPr="009B6CE2" w:rsidRDefault="009B6CE2" w:rsidP="009B6CE2">
      <w:pPr>
        <w:pStyle w:val="a4"/>
        <w:numPr>
          <w:ilvl w:val="1"/>
          <w:numId w:val="3"/>
        </w:numPr>
        <w:rPr>
          <w:rFonts w:eastAsiaTheme="majorEastAsia"/>
          <w:color w:val="000000" w:themeColor="text1"/>
          <w:sz w:val="24"/>
          <w:szCs w:val="24"/>
          <w:lang w:val="ru-RU"/>
        </w:rPr>
      </w:pPr>
      <w:r w:rsidRPr="009B6CE2">
        <w:rPr>
          <w:rFonts w:eastAsiaTheme="majorEastAsia"/>
          <w:color w:val="000000" w:themeColor="text1"/>
          <w:sz w:val="24"/>
          <w:szCs w:val="24"/>
          <w:lang w:val="ru-RU"/>
        </w:rPr>
        <w:t>Сумма выкупа Сделки ОТС-РЕПО (Сумма выкупа) – сумма денежных средств, подлежащая уплате продавцом по Сделке ОТС-РЕПО покупателю по</w:t>
      </w:r>
      <w:r w:rsidR="008B6656">
        <w:rPr>
          <w:rFonts w:eastAsiaTheme="majorEastAsia"/>
          <w:color w:val="000000" w:themeColor="text1"/>
          <w:sz w:val="24"/>
          <w:szCs w:val="24"/>
          <w:lang w:val="ru-RU"/>
        </w:rPr>
        <w:t xml:space="preserve"> </w:t>
      </w:r>
      <w:r w:rsidR="008B6656">
        <w:rPr>
          <w:rFonts w:eastAsiaTheme="majorEastAsia"/>
          <w:color w:val="000000" w:themeColor="text1"/>
          <w:sz w:val="24"/>
          <w:szCs w:val="24"/>
          <w:lang w:val="ru-RU"/>
        </w:rPr>
        <w:lastRenderedPageBreak/>
        <w:t>Сделке ОТС-РЕПО при исполнении</w:t>
      </w:r>
      <w:r w:rsidRPr="009B6CE2">
        <w:rPr>
          <w:rFonts w:eastAsiaTheme="majorEastAsia"/>
          <w:color w:val="000000" w:themeColor="text1"/>
          <w:sz w:val="24"/>
          <w:szCs w:val="24"/>
          <w:lang w:val="ru-RU"/>
        </w:rPr>
        <w:t xml:space="preserve"> обязательств по Второй части Сделки ОТС-РЕПО.</w:t>
      </w:r>
    </w:p>
    <w:p w:rsidR="009B6CE2" w:rsidRPr="009E03B1" w:rsidRDefault="009B6CE2" w:rsidP="00816A5F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Участник А</w:t>
      </w: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кции (далее – </w:t>
      </w:r>
      <w:r w:rsidR="00816A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«Участники», «Участник») – </w:t>
      </w:r>
      <w:r w:rsidR="00816A5F" w:rsidRPr="00816A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Инвестор, соответствующи</w:t>
      </w:r>
      <w:r w:rsidR="00E545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й</w:t>
      </w:r>
      <w:r w:rsidR="00816A5F" w:rsidRPr="00816A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следующим условия</w:t>
      </w:r>
      <w:r w:rsidR="00816A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9B6CE2" w:rsidRPr="009621C8" w:rsidRDefault="009B6CE2" w:rsidP="009B6CE2">
      <w:pPr>
        <w:pStyle w:val="1"/>
        <w:keepNext w:val="0"/>
        <w:keepLines w:val="0"/>
        <w:numPr>
          <w:ilvl w:val="2"/>
          <w:numId w:val="3"/>
        </w:numPr>
        <w:ind w:left="1560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явля</w:t>
      </w:r>
      <w:r w:rsidR="00E545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тся Участником Программы</w:t>
      </w:r>
      <w:r w:rsidRPr="009621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D63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лояльности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9B6CE2" w:rsidRPr="00E54521" w:rsidRDefault="00816A5F" w:rsidP="00816A5F">
      <w:pPr>
        <w:pStyle w:val="1"/>
        <w:keepNext w:val="0"/>
        <w:keepLines w:val="0"/>
        <w:numPr>
          <w:ilvl w:val="2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6A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отношении Инвестора отсутствуют ограничения </w:t>
      </w:r>
      <w:r w:rsidR="009B6CE2" w:rsidRPr="009621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рамках Федерального закона от 07.08.2001 № 115-ФЗ «О противодействии легализации (отмыванию) доходов, полученных преступным путем, и финансированию терроризма» в отношении денежных средств, находящихся на расчетном счете;</w:t>
      </w:r>
    </w:p>
    <w:p w:rsidR="009B6CE2" w:rsidRPr="00E54521" w:rsidRDefault="009B6CE2" w:rsidP="00816A5F">
      <w:pPr>
        <w:pStyle w:val="1"/>
        <w:keepNext w:val="0"/>
        <w:keepLines w:val="0"/>
        <w:numPr>
          <w:ilvl w:val="2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00F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имеет </w:t>
      </w:r>
      <w:r w:rsidR="00816A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r w:rsidRPr="00F00F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асчетный счет </w:t>
      </w:r>
      <w:r w:rsidR="00374E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договор </w:t>
      </w:r>
      <w:r w:rsidR="00816A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</w:t>
      </w:r>
      <w:r w:rsidR="00374E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анковского счета </w:t>
      </w:r>
      <w:r w:rsidRPr="00F00F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Банке </w:t>
      </w:r>
      <w:r w:rsidR="00816A5F" w:rsidRPr="00816A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дату начала проведения Акции, а также на дату </w:t>
      </w:r>
      <w:r w:rsidRPr="00F00F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предоставления Поощрения, за исключением счетов, которые указаны в Правилах Программы лояльности (п. 2.1 Приложения 1), размещенных на официальном сайте Банка на странице </w:t>
      </w:r>
      <w:hyperlink r:id="rId8" w:history="1">
        <w:r w:rsidRPr="00633D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https://www.sberbank.com/ru/s_m_business/spasibo</w:t>
        </w:r>
      </w:hyperlink>
      <w:r w:rsidRPr="00633D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.</w:t>
      </w:r>
    </w:p>
    <w:p w:rsidR="009B6CE2" w:rsidRPr="00BD049C" w:rsidRDefault="009B6CE2" w:rsidP="009B6CE2">
      <w:pPr>
        <w:pStyle w:val="a4"/>
        <w:rPr>
          <w:rFonts w:eastAsiaTheme="majorEastAsia"/>
          <w:color w:val="000000" w:themeColor="text1"/>
          <w:sz w:val="24"/>
          <w:szCs w:val="24"/>
          <w:lang w:val="ru-RU"/>
        </w:rPr>
      </w:pPr>
    </w:p>
    <w:p w:rsidR="009B6CE2" w:rsidRDefault="009B6CE2" w:rsidP="00816A5F">
      <w:pPr>
        <w:pStyle w:val="a4"/>
        <w:numPr>
          <w:ilvl w:val="2"/>
          <w:numId w:val="3"/>
        </w:numPr>
        <w:suppressAutoHyphens w:val="0"/>
        <w:rPr>
          <w:rFonts w:eastAsiaTheme="majorEastAsia"/>
          <w:color w:val="000000" w:themeColor="text1"/>
          <w:sz w:val="24"/>
          <w:szCs w:val="24"/>
          <w:lang w:val="ru-RU"/>
        </w:rPr>
      </w:pPr>
      <w:r w:rsidRPr="00BD049C">
        <w:rPr>
          <w:rFonts w:eastAsiaTheme="majorEastAsia"/>
          <w:color w:val="000000" w:themeColor="text1"/>
          <w:sz w:val="24"/>
          <w:szCs w:val="24"/>
          <w:lang w:val="ru-RU"/>
        </w:rPr>
        <w:t xml:space="preserve">имеет Брокерский счет, открытый в </w:t>
      </w:r>
      <w:r w:rsidR="00816A5F">
        <w:rPr>
          <w:rFonts w:eastAsiaTheme="majorEastAsia"/>
          <w:color w:val="000000" w:themeColor="text1"/>
          <w:sz w:val="24"/>
          <w:szCs w:val="24"/>
          <w:lang w:val="ru-RU"/>
        </w:rPr>
        <w:t xml:space="preserve">Банке </w:t>
      </w:r>
      <w:r w:rsidR="00816A5F" w:rsidRPr="00816A5F">
        <w:rPr>
          <w:rFonts w:eastAsiaTheme="majorEastAsia"/>
          <w:color w:val="000000" w:themeColor="text1"/>
          <w:sz w:val="24"/>
          <w:szCs w:val="24"/>
          <w:lang w:val="ru-RU"/>
        </w:rPr>
        <w:t>н</w:t>
      </w:r>
      <w:r w:rsidR="00816A5F">
        <w:rPr>
          <w:rFonts w:eastAsiaTheme="majorEastAsia"/>
          <w:color w:val="000000" w:themeColor="text1"/>
          <w:sz w:val="24"/>
          <w:szCs w:val="24"/>
          <w:lang w:val="ru-RU"/>
        </w:rPr>
        <w:t>а дату предоставления Поощрения</w:t>
      </w:r>
      <w:r w:rsidRPr="00BD049C">
        <w:rPr>
          <w:rFonts w:eastAsiaTheme="majorEastAsia"/>
          <w:color w:val="000000" w:themeColor="text1"/>
          <w:sz w:val="24"/>
          <w:szCs w:val="24"/>
          <w:lang w:val="ru-RU"/>
        </w:rPr>
        <w:t>.</w:t>
      </w:r>
    </w:p>
    <w:p w:rsidR="00E54521" w:rsidRPr="00E54521" w:rsidRDefault="00E54521" w:rsidP="00E54521">
      <w:pPr>
        <w:pStyle w:val="a4"/>
        <w:rPr>
          <w:rFonts w:eastAsiaTheme="majorEastAsia"/>
          <w:color w:val="000000" w:themeColor="text1"/>
          <w:sz w:val="24"/>
          <w:szCs w:val="24"/>
          <w:lang w:val="ru-RU"/>
        </w:rPr>
      </w:pPr>
    </w:p>
    <w:p w:rsidR="00E54521" w:rsidRPr="00E54521" w:rsidRDefault="00E54521" w:rsidP="00E54521">
      <w:pPr>
        <w:pStyle w:val="a4"/>
        <w:numPr>
          <w:ilvl w:val="2"/>
          <w:numId w:val="3"/>
        </w:numPr>
        <w:suppressAutoHyphens w:val="0"/>
        <w:rPr>
          <w:rFonts w:eastAsiaTheme="majorEastAsia"/>
          <w:color w:val="000000" w:themeColor="text1"/>
          <w:sz w:val="24"/>
          <w:szCs w:val="24"/>
          <w:lang w:val="ru-RU"/>
        </w:rPr>
      </w:pPr>
      <w:r w:rsidRPr="00E54521">
        <w:rPr>
          <w:rFonts w:eastAsiaTheme="majorEastAsia"/>
          <w:color w:val="000000" w:themeColor="text1"/>
          <w:sz w:val="24"/>
          <w:szCs w:val="24"/>
          <w:lang w:val="ru-RU"/>
        </w:rPr>
        <w:t>относится к сегментам «Малый» или «Микро» бизнес</w:t>
      </w:r>
      <w:r>
        <w:rPr>
          <w:rFonts w:eastAsiaTheme="majorEastAsia"/>
          <w:color w:val="000000" w:themeColor="text1"/>
          <w:sz w:val="24"/>
          <w:szCs w:val="24"/>
          <w:lang w:val="ru-RU"/>
        </w:rPr>
        <w:t xml:space="preserve"> в рамках обслуживания в Банке</w:t>
      </w:r>
      <w:bookmarkStart w:id="0" w:name="_GoBack"/>
      <w:bookmarkEnd w:id="0"/>
    </w:p>
    <w:p w:rsidR="00816A5F" w:rsidRPr="00816A5F" w:rsidRDefault="00816A5F" w:rsidP="00816A5F">
      <w:pPr>
        <w:suppressAutoHyphens w:val="0"/>
        <w:rPr>
          <w:rFonts w:eastAsiaTheme="majorEastAsia"/>
          <w:color w:val="000000" w:themeColor="text1"/>
          <w:sz w:val="24"/>
          <w:szCs w:val="24"/>
          <w:lang w:val="ru-RU"/>
        </w:rPr>
      </w:pPr>
    </w:p>
    <w:p w:rsidR="009B6CE2" w:rsidRPr="00CC48AC" w:rsidRDefault="009B6CE2" w:rsidP="009B6CE2">
      <w:pPr>
        <w:pStyle w:val="a4"/>
        <w:rPr>
          <w:rFonts w:eastAsiaTheme="majorEastAsia"/>
          <w:color w:val="000000" w:themeColor="text1"/>
          <w:sz w:val="24"/>
          <w:szCs w:val="24"/>
          <w:lang w:val="ru-RU"/>
        </w:rPr>
      </w:pPr>
    </w:p>
    <w:p w:rsidR="00816A5F" w:rsidRPr="00816A5F" w:rsidRDefault="00816A5F" w:rsidP="00816A5F">
      <w:pPr>
        <w:pStyle w:val="a4"/>
        <w:numPr>
          <w:ilvl w:val="1"/>
          <w:numId w:val="3"/>
        </w:numPr>
        <w:rPr>
          <w:rFonts w:eastAsiaTheme="majorEastAsia"/>
          <w:color w:val="000000" w:themeColor="text1"/>
          <w:sz w:val="24"/>
          <w:szCs w:val="24"/>
          <w:lang w:val="ru-RU"/>
        </w:rPr>
      </w:pPr>
      <w:r w:rsidRPr="00816A5F">
        <w:rPr>
          <w:rFonts w:eastAsiaTheme="majorEastAsia"/>
          <w:color w:val="000000" w:themeColor="text1"/>
          <w:sz w:val="24"/>
          <w:szCs w:val="24"/>
          <w:lang w:val="ru-RU"/>
        </w:rPr>
        <w:t xml:space="preserve">Термины, используемые в настоящих Условиях Акции с заглавной буквы и не раскрытые в настоящих Условиях Акции, используются здесь в том же значении, как и в Правилах Программы «СберБизнес Спасибо» или Условиях брокерского обслуживания, размещенных на сайте Банка https://www.sberbank.com/ru/legal/investments/broker_service/marketsandservices?tab=docs </w:t>
      </w:r>
    </w:p>
    <w:p w:rsidR="009B6CE2" w:rsidRPr="00CC48AC" w:rsidRDefault="009B6CE2" w:rsidP="00816A5F">
      <w:pPr>
        <w:pStyle w:val="1"/>
        <w:keepNext w:val="0"/>
        <w:keepLines w:val="0"/>
        <w:numPr>
          <w:ilvl w:val="0"/>
          <w:numId w:val="0"/>
        </w:numPr>
        <w:jc w:val="both"/>
        <w:rPr>
          <w:color w:val="000000" w:themeColor="text1"/>
          <w:sz w:val="24"/>
          <w:szCs w:val="24"/>
          <w:lang w:val="ru-RU"/>
        </w:rPr>
      </w:pPr>
    </w:p>
    <w:p w:rsidR="009B6CE2" w:rsidRDefault="009B6CE2" w:rsidP="009B6CE2">
      <w:pPr>
        <w:pStyle w:val="1"/>
        <w:keepLines w:val="0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СРОКИ ПРОВЕДЕНИЯ АКЦИИ</w:t>
      </w:r>
    </w:p>
    <w:p w:rsidR="009B6CE2" w:rsidRPr="001B40E2" w:rsidRDefault="009B6CE2" w:rsidP="00816A5F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B40E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Общий период проведения Акции: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 </w:t>
      </w:r>
      <w:r w:rsidR="00D25567">
        <w:rPr>
          <w:rFonts w:ascii="Times New Roman" w:hAnsi="Times New Roman" w:cs="Times New Roman"/>
          <w:color w:val="auto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 </w:t>
      </w:r>
      <w:r w:rsidR="00D25567">
        <w:rPr>
          <w:rFonts w:ascii="Times New Roman" w:hAnsi="Times New Roman" w:cs="Times New Roman"/>
          <w:color w:val="auto"/>
          <w:sz w:val="24"/>
          <w:szCs w:val="24"/>
          <w:lang w:val="ru-RU"/>
        </w:rPr>
        <w:t>октября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 2025 г. </w:t>
      </w:r>
      <w:r w:rsidR="008B665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31 января </w:t>
      </w:r>
      <w:r w:rsidR="008B6656" w:rsidRPr="008B6656">
        <w:rPr>
          <w:rFonts w:ascii="Times New Roman" w:hAnsi="Times New Roman" w:cs="Times New Roman"/>
          <w:color w:val="auto"/>
          <w:sz w:val="24"/>
          <w:szCs w:val="24"/>
          <w:lang w:val="ru-RU"/>
        </w:rPr>
        <w:t>2026 включительно</w:t>
      </w:r>
      <w:r w:rsidR="00816A5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816A5F" w:rsidRPr="00816A5F">
        <w:rPr>
          <w:rFonts w:ascii="Times New Roman" w:hAnsi="Times New Roman" w:cs="Times New Roman"/>
          <w:color w:val="auto"/>
          <w:sz w:val="24"/>
          <w:szCs w:val="24"/>
          <w:lang w:val="ru-RU"/>
        </w:rPr>
        <w:t>или до момента исчерпания фонда акции, определенного в п.5.2. Правил (в зависимости от того, какое из событий наступит ранее).</w:t>
      </w:r>
    </w:p>
    <w:p w:rsidR="009B6CE2" w:rsidRPr="0004552F" w:rsidRDefault="009B6CE2" w:rsidP="009B6CE2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628FE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Период совершения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Участниками </w:t>
      </w:r>
      <w:r w:rsidRPr="0004552F">
        <w:rPr>
          <w:rFonts w:ascii="Times New Roman" w:hAnsi="Times New Roman" w:cs="Times New Roman"/>
          <w:color w:val="auto"/>
          <w:sz w:val="24"/>
          <w:szCs w:val="24"/>
          <w:lang w:val="ru-RU"/>
        </w:rPr>
        <w:t>Акции активных дейс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твий, предусмотренных разделом 4</w:t>
      </w:r>
      <w:r w:rsidRPr="0004552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Правил, в целях п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олучения Поощрения по Акции: </w:t>
      </w:r>
      <w:r w:rsidR="008B6656">
        <w:rPr>
          <w:rFonts w:ascii="Times New Roman" w:hAnsi="Times New Roman" w:cs="Times New Roman"/>
          <w:color w:val="auto"/>
          <w:sz w:val="24"/>
          <w:szCs w:val="24"/>
          <w:lang w:val="ru-RU"/>
        </w:rPr>
        <w:t>с 15 октября 2025 г. по 31 декабря 2025</w:t>
      </w:r>
      <w:r w:rsidR="008B6656" w:rsidRPr="001B40E2">
        <w:rPr>
          <w:rFonts w:ascii="Times New Roman" w:hAnsi="Times New Roman" w:cs="Times New Roman"/>
          <w:color w:val="auto"/>
          <w:sz w:val="24"/>
          <w:szCs w:val="24"/>
          <w:lang w:val="ru-RU"/>
        </w:rPr>
        <w:t> г</w:t>
      </w:r>
      <w:r w:rsidRPr="001B40E2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Pr="0004552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включительно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B74A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или до момента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ее отмены организатором Акции</w:t>
      </w:r>
      <w:r w:rsidRPr="0004552F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9B6CE2" w:rsidRPr="009B6CE2" w:rsidRDefault="009B6CE2" w:rsidP="009B6CE2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4552F">
        <w:rPr>
          <w:rFonts w:ascii="Times New Roman" w:hAnsi="Times New Roman" w:cs="Times New Roman"/>
          <w:color w:val="auto"/>
          <w:sz w:val="24"/>
          <w:szCs w:val="24"/>
          <w:lang w:val="ru-RU"/>
        </w:rPr>
        <w:t>Пери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од предоставления Поощрений: </w:t>
      </w:r>
      <w:r w:rsidR="00D2556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 15 октября 2025 г. по 31 </w:t>
      </w:r>
      <w:r w:rsidR="008B6656">
        <w:rPr>
          <w:rFonts w:ascii="Times New Roman" w:hAnsi="Times New Roman" w:cs="Times New Roman"/>
          <w:color w:val="auto"/>
          <w:sz w:val="24"/>
          <w:szCs w:val="24"/>
          <w:lang w:val="ru-RU"/>
        </w:rPr>
        <w:t>января</w:t>
      </w:r>
      <w:r w:rsidR="00D2556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202</w:t>
      </w:r>
      <w:r w:rsidR="008B6656">
        <w:rPr>
          <w:rFonts w:ascii="Times New Roman" w:hAnsi="Times New Roman" w:cs="Times New Roman"/>
          <w:color w:val="auto"/>
          <w:sz w:val="24"/>
          <w:szCs w:val="24"/>
          <w:lang w:val="ru-RU"/>
        </w:rPr>
        <w:t>6</w:t>
      </w:r>
      <w:r w:rsidR="00D25567" w:rsidRPr="001B40E2">
        <w:rPr>
          <w:rFonts w:ascii="Times New Roman" w:hAnsi="Times New Roman" w:cs="Times New Roman"/>
          <w:color w:val="auto"/>
          <w:sz w:val="24"/>
          <w:szCs w:val="24"/>
          <w:lang w:val="ru-RU"/>
        </w:rPr>
        <w:t> г</w:t>
      </w:r>
      <w:r w:rsidRPr="004D5BC1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Pr="0004552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включительно</w:t>
      </w:r>
      <w:r w:rsidRPr="007B5AC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B74A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или до момента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исчерпания Фонда акции, </w:t>
      </w:r>
      <w:r w:rsidRPr="00CC48AC">
        <w:rPr>
          <w:rFonts w:ascii="Times New Roman" w:hAnsi="Times New Roman" w:cs="Times New Roman"/>
          <w:color w:val="auto"/>
          <w:sz w:val="24"/>
          <w:szCs w:val="24"/>
          <w:lang w:val="ru-RU"/>
        </w:rPr>
        <w:t>в зависимости о того, какое из событий наступит ранее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9B6CE2" w:rsidRPr="009B6CE2" w:rsidRDefault="009B6CE2" w:rsidP="009B6CE2">
      <w:pPr>
        <w:pStyle w:val="a4"/>
        <w:numPr>
          <w:ilvl w:val="1"/>
          <w:numId w:val="3"/>
        </w:numPr>
        <w:rPr>
          <w:rFonts w:eastAsiaTheme="majorEastAsia"/>
          <w:sz w:val="24"/>
          <w:szCs w:val="24"/>
          <w:lang w:val="ru-RU"/>
        </w:rPr>
      </w:pPr>
      <w:r w:rsidRPr="009B6CE2">
        <w:rPr>
          <w:rFonts w:eastAsiaTheme="majorEastAsia"/>
          <w:sz w:val="24"/>
          <w:szCs w:val="24"/>
          <w:lang w:val="ru-RU"/>
        </w:rPr>
        <w:t xml:space="preserve">Все действия, предусмотренные Правилами, должны быть совершены и фиксируются Банком по московскому времени, с 00 часов 00 минут 00 секунд по 23 часа 59 минут 59 секунд, включительно, соответствующих календарных суток, </w:t>
      </w:r>
      <w:r w:rsidRPr="009B6CE2">
        <w:rPr>
          <w:rFonts w:eastAsiaTheme="majorEastAsia"/>
          <w:sz w:val="24"/>
          <w:szCs w:val="24"/>
          <w:lang w:val="ru-RU"/>
        </w:rPr>
        <w:lastRenderedPageBreak/>
        <w:t>входящих в установленный период, если отдельно не оговорено иное. Любое время, указанное в Правилах, необходимо рассматривать как московское.</w:t>
      </w:r>
    </w:p>
    <w:p w:rsidR="009B6CE2" w:rsidRPr="00AF6DC5" w:rsidRDefault="009B6CE2" w:rsidP="009B6CE2">
      <w:pPr>
        <w:pStyle w:val="1"/>
        <w:keepLines w:val="0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Ref164346540"/>
      <w:r w:rsidRPr="009E0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УЧАСТИЯ В АКЦИИ</w:t>
      </w:r>
      <w:bookmarkEnd w:id="1"/>
    </w:p>
    <w:p w:rsidR="0093463A" w:rsidRDefault="009B6CE2" w:rsidP="0093463A">
      <w:pPr>
        <w:pStyle w:val="1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F6D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Для того, чтобы претендовать на Поощрение Участнику Акции необходимо в период, указанный в пункте </w:t>
      </w:r>
      <w:r w:rsidR="00D255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Pr="00AF6D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Pr="00AF6D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совершить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Сделку </w:t>
      </w:r>
      <w:r w:rsidR="00593B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ОТС-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РЕПО</w:t>
      </w:r>
      <w:r w:rsidR="003E023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AF6D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соответствии с условиями котор</w:t>
      </w:r>
      <w:r w:rsidR="003E023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ой</w:t>
      </w:r>
      <w:r w:rsidRPr="00AF6D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93BD8" w:rsidRPr="00593B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Участник Акции приобретает у Банка Пакет Ценных бумаг (1-я часть Сделки ОТС-РЕПО</w:t>
      </w:r>
      <w:r w:rsidR="0093463A" w:rsidRPr="00593B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), и</w:t>
      </w:r>
      <w:r w:rsidR="00593BD8" w:rsidRPr="00593B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определенный с</w:t>
      </w:r>
      <w:r w:rsidR="00E114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рок продает его обратно Банку (</w:t>
      </w:r>
      <w:r w:rsidR="00593BD8" w:rsidRPr="00593B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2-я часть Сделки ОТС-РЕПО»).</w:t>
      </w:r>
      <w:r w:rsidR="00E114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93463A" w:rsidRPr="0093463A" w:rsidRDefault="0093463A" w:rsidP="0093463A">
      <w:pPr>
        <w:rPr>
          <w:lang w:val="ru-RU"/>
        </w:rPr>
      </w:pPr>
    </w:p>
    <w:p w:rsidR="003E023F" w:rsidRPr="003E023F" w:rsidRDefault="003E023F" w:rsidP="003E023F">
      <w:pPr>
        <w:pStyle w:val="a4"/>
        <w:numPr>
          <w:ilvl w:val="1"/>
          <w:numId w:val="3"/>
        </w:numPr>
        <w:rPr>
          <w:lang w:val="ru-RU"/>
        </w:rPr>
      </w:pPr>
      <w:r w:rsidRPr="00AF6DC5">
        <w:rPr>
          <w:color w:val="000000" w:themeColor="text1"/>
          <w:sz w:val="24"/>
          <w:szCs w:val="24"/>
          <w:lang w:val="ru-RU"/>
        </w:rPr>
        <w:t>Сумм</w:t>
      </w:r>
      <w:r>
        <w:rPr>
          <w:color w:val="000000" w:themeColor="text1"/>
          <w:sz w:val="24"/>
          <w:szCs w:val="24"/>
          <w:lang w:val="ru-RU"/>
        </w:rPr>
        <w:t>а</w:t>
      </w:r>
      <w:r w:rsidRPr="00AF6DC5">
        <w:rPr>
          <w:color w:val="000000" w:themeColor="text1"/>
          <w:sz w:val="24"/>
          <w:szCs w:val="24"/>
          <w:lang w:val="ru-RU"/>
        </w:rPr>
        <w:t xml:space="preserve"> покупки</w:t>
      </w:r>
      <w:r>
        <w:rPr>
          <w:color w:val="000000" w:themeColor="text1"/>
          <w:sz w:val="24"/>
          <w:szCs w:val="24"/>
          <w:lang w:val="ru-RU"/>
        </w:rPr>
        <w:t xml:space="preserve"> по</w:t>
      </w:r>
      <w:r w:rsidRPr="00AF6DC5">
        <w:rPr>
          <w:color w:val="000000" w:themeColor="text1"/>
          <w:sz w:val="24"/>
          <w:szCs w:val="24"/>
          <w:lang w:val="ru-RU"/>
        </w:rPr>
        <w:t xml:space="preserve"> Сделк</w:t>
      </w:r>
      <w:r>
        <w:rPr>
          <w:color w:val="000000" w:themeColor="text1"/>
          <w:sz w:val="24"/>
          <w:szCs w:val="24"/>
          <w:lang w:val="ru-RU"/>
        </w:rPr>
        <w:t>е</w:t>
      </w:r>
      <w:r w:rsidRPr="00AF6DC5">
        <w:rPr>
          <w:color w:val="000000" w:themeColor="text1"/>
          <w:sz w:val="24"/>
          <w:szCs w:val="24"/>
          <w:lang w:val="ru-RU"/>
        </w:rPr>
        <w:t xml:space="preserve"> ОТС-РЕПО</w:t>
      </w:r>
      <w:r>
        <w:rPr>
          <w:color w:val="000000" w:themeColor="text1"/>
          <w:sz w:val="24"/>
          <w:szCs w:val="24"/>
          <w:lang w:val="ru-RU"/>
        </w:rPr>
        <w:t xml:space="preserve"> должна </w:t>
      </w:r>
      <w:r w:rsidRPr="00CC48AC">
        <w:rPr>
          <w:rFonts w:eastAsiaTheme="majorEastAsia"/>
          <w:color w:val="000000" w:themeColor="text1"/>
          <w:sz w:val="24"/>
          <w:szCs w:val="24"/>
          <w:lang w:val="ru-RU"/>
        </w:rPr>
        <w:t>превышать 995 000 (девятьсот девяносто пять тысяч) рублей</w:t>
      </w:r>
    </w:p>
    <w:p w:rsidR="009B6CE2" w:rsidRPr="00E114F9" w:rsidRDefault="009B6CE2" w:rsidP="009B6CE2">
      <w:pPr>
        <w:pStyle w:val="1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F6D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Указанная в п.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Pr="00AF6D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.1 Сделка должна быть первой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дате и времени</w:t>
      </w:r>
      <w:r w:rsidR="003E023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сделкой ОТС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Pr="00E114F9">
        <w:rPr>
          <w:rFonts w:ascii="Times New Roman" w:hAnsi="Times New Roman" w:cs="Times New Roman"/>
          <w:color w:val="auto"/>
          <w:sz w:val="24"/>
          <w:szCs w:val="24"/>
          <w:lang w:val="ru-RU"/>
        </w:rPr>
        <w:t>РЕПО, совершенной Участником Акции с момента открытия Брокерского счета в Банке</w:t>
      </w:r>
      <w:r w:rsidR="00E114F9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3E023F" w:rsidRPr="00E114F9" w:rsidRDefault="003E023F" w:rsidP="003E023F">
      <w:pPr>
        <w:pStyle w:val="1"/>
        <w:keepNext w:val="0"/>
        <w:keepLines w:val="0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14F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ПОРЯДОК ПРЕДОСТАВЛЕНИЯ ПООЩРЕНИЙ, ФОНД АКЦИИ</w:t>
      </w:r>
    </w:p>
    <w:p w:rsidR="00E114F9" w:rsidRPr="00E114F9" w:rsidRDefault="00E114F9" w:rsidP="00E114F9">
      <w:pPr>
        <w:pStyle w:val="a4"/>
        <w:numPr>
          <w:ilvl w:val="1"/>
          <w:numId w:val="3"/>
        </w:numPr>
        <w:rPr>
          <w:rFonts w:eastAsiaTheme="majorEastAsia"/>
          <w:color w:val="000000" w:themeColor="text1"/>
          <w:sz w:val="24"/>
          <w:szCs w:val="24"/>
          <w:lang w:val="ru-RU"/>
        </w:rPr>
      </w:pPr>
      <w:r w:rsidRPr="00E114F9">
        <w:rPr>
          <w:rFonts w:eastAsiaTheme="majorEastAsia"/>
          <w:sz w:val="24"/>
          <w:szCs w:val="24"/>
          <w:lang w:val="ru-RU"/>
        </w:rPr>
        <w:t xml:space="preserve">Участникам </w:t>
      </w:r>
      <w:r w:rsidRPr="00E114F9">
        <w:rPr>
          <w:rFonts w:eastAsiaTheme="majorEastAsia"/>
          <w:color w:val="000000" w:themeColor="text1"/>
          <w:sz w:val="24"/>
          <w:szCs w:val="24"/>
          <w:lang w:val="ru-RU"/>
        </w:rPr>
        <w:t>Акции, первым по дате и времени выполнившим действия, предусмотренные разделом 4 настоящих Правил, в сроки с 15.10.2025 по 31.12.2025 предоставляется Поощрение в размере 1 000 (Одна тысяча) Бонусов.</w:t>
      </w:r>
      <w:r>
        <w:rPr>
          <w:rFonts w:eastAsiaTheme="majorEastAsia"/>
          <w:color w:val="000000" w:themeColor="text1"/>
          <w:sz w:val="24"/>
          <w:szCs w:val="24"/>
          <w:lang w:val="ru-RU"/>
        </w:rPr>
        <w:t xml:space="preserve"> </w:t>
      </w:r>
    </w:p>
    <w:p w:rsidR="003E023F" w:rsidRPr="00CC48AC" w:rsidRDefault="003E023F" w:rsidP="003E023F">
      <w:pPr>
        <w:pStyle w:val="1"/>
        <w:keepNext w:val="0"/>
        <w:keepLines w:val="0"/>
        <w:numPr>
          <w:ilvl w:val="1"/>
          <w:numId w:val="3"/>
        </w:numPr>
        <w:jc w:val="both"/>
        <w:rPr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Фонд Акции составляет 2 100 000 (Два миллиона сто тысяч) Бонусов.</w:t>
      </w:r>
      <w:r w:rsidRPr="00CC48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Количество Поощрений, предоставляемых Участникам Акции в период ее проведения, ограничено общим размером Фонда </w:t>
      </w:r>
      <w:r w:rsidR="008B665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Акции</w:t>
      </w:r>
      <w:r w:rsidRPr="00CC48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По исчерпании Фонда Акции Поощрения Участникам Акции не вручаются и не начисляются. </w:t>
      </w:r>
    </w:p>
    <w:p w:rsidR="003E023F" w:rsidRPr="00CC48AC" w:rsidRDefault="003E023F" w:rsidP="003E023F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C48A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Замена Поощрений другими видами поощрений, в том числе денежными, не производится. </w:t>
      </w:r>
    </w:p>
    <w:p w:rsidR="003E023F" w:rsidRPr="00816CA3" w:rsidRDefault="003E023F" w:rsidP="003E023F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период проведения Акции, Участник Акции вправе претендовать не б</w:t>
      </w:r>
      <w:r w:rsidR="00E114F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олее чем на 1 (одно) Поощрение.</w:t>
      </w:r>
    </w:p>
    <w:p w:rsidR="003E023F" w:rsidRPr="002220B2" w:rsidRDefault="003E023F" w:rsidP="003E023F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6C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Использование Бонусов регламентируется Правилами Программы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лояльности </w:t>
      </w:r>
      <w:r w:rsidRPr="00816C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«СберБизнес Спасибо».</w:t>
      </w:r>
      <w:r w:rsidRPr="002220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3E023F" w:rsidRPr="003E023F" w:rsidRDefault="003E023F" w:rsidP="00374E76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220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случаях, установленных Налоговым кодексом Российской Федерации, при получении каких-либо доходов от участия в Акции </w:t>
      </w:r>
      <w:r w:rsidR="00374E76" w:rsidRPr="00374E7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Акции (в том числе в результате использования  полученного Поощрения)</w:t>
      </w:r>
      <w:r w:rsidRPr="002220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Участник Акции несет ответственность за самостоятельное декларирование доходов, уплату всех применимых налогов и иных существующих обязательных платежей, сборов и пошлин.</w:t>
      </w:r>
    </w:p>
    <w:p w:rsidR="003E023F" w:rsidRPr="00374E76" w:rsidRDefault="003E023F" w:rsidP="00374E76">
      <w:pPr>
        <w:pStyle w:val="a4"/>
        <w:numPr>
          <w:ilvl w:val="1"/>
          <w:numId w:val="3"/>
        </w:numPr>
        <w:rPr>
          <w:rFonts w:eastAsiaTheme="majorEastAsia"/>
          <w:color w:val="000000" w:themeColor="text1"/>
          <w:sz w:val="24"/>
          <w:szCs w:val="24"/>
          <w:lang w:val="ru-RU"/>
        </w:rPr>
      </w:pPr>
      <w:r w:rsidRPr="00374E76">
        <w:rPr>
          <w:color w:val="000000" w:themeColor="text1"/>
          <w:sz w:val="24"/>
          <w:szCs w:val="24"/>
          <w:lang w:val="ru-RU"/>
        </w:rPr>
        <w:t xml:space="preserve">В рамках Акции Банк может зачислить Участнику Акции Поощрение дополнительно </w:t>
      </w:r>
      <w:r w:rsidR="00374E76" w:rsidRPr="00374E76">
        <w:rPr>
          <w:rFonts w:eastAsiaTheme="majorEastAsia"/>
          <w:color w:val="000000" w:themeColor="text1"/>
          <w:sz w:val="24"/>
          <w:szCs w:val="24"/>
          <w:lang w:val="ru-RU"/>
        </w:rPr>
        <w:t xml:space="preserve">к максимальному количеству Бонусов, которое может быть начислено  на Бонусный счет Участника Акции в течение календарного месяца согласно Правилам Программы лояльности. </w:t>
      </w:r>
    </w:p>
    <w:p w:rsidR="003E023F" w:rsidRDefault="003E023F" w:rsidP="003E023F">
      <w:pPr>
        <w:pStyle w:val="1"/>
        <w:keepNext w:val="0"/>
        <w:keepLines w:val="0"/>
        <w:numPr>
          <w:ilvl w:val="1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E03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Банк вправе принять решение об отказе от предоставления Поощрения в случае несоблюдения условий и/или ограничений, предусмотренных настоящими Правилами, несоответствия Участника Акции требованиям, указанным в настоящих Правилах, а также невыполнения им установленных в Правилах требований.</w:t>
      </w:r>
    </w:p>
    <w:p w:rsidR="003E023F" w:rsidRDefault="003E023F" w:rsidP="003E023F">
      <w:pPr>
        <w:pStyle w:val="a8"/>
        <w:numPr>
          <w:ilvl w:val="1"/>
          <w:numId w:val="3"/>
        </w:numPr>
        <w:rPr>
          <w:sz w:val="24"/>
          <w:szCs w:val="24"/>
          <w:lang w:val="ru-RU"/>
        </w:rPr>
      </w:pPr>
      <w:r w:rsidRPr="00DD0607">
        <w:rPr>
          <w:sz w:val="24"/>
          <w:szCs w:val="24"/>
          <w:lang w:val="ru-RU"/>
        </w:rPr>
        <w:lastRenderedPageBreak/>
        <w:t>Поощрение не предоставляется Участникам</w:t>
      </w:r>
      <w:r>
        <w:rPr>
          <w:sz w:val="24"/>
          <w:szCs w:val="24"/>
          <w:lang w:val="ru-RU"/>
        </w:rPr>
        <w:t xml:space="preserve"> Акции</w:t>
      </w:r>
      <w:r w:rsidRPr="00DD0607">
        <w:rPr>
          <w:sz w:val="24"/>
          <w:szCs w:val="24"/>
          <w:lang w:val="ru-RU"/>
        </w:rPr>
        <w:t xml:space="preserve">, если договор банковского счета был расторгнут до окончания соответствующего периода, указанного в п. </w:t>
      </w:r>
      <w:r>
        <w:rPr>
          <w:sz w:val="24"/>
          <w:szCs w:val="24"/>
          <w:lang w:val="ru-RU"/>
        </w:rPr>
        <w:t xml:space="preserve">3.1 правил. </w:t>
      </w:r>
    </w:p>
    <w:p w:rsidR="003E023F" w:rsidRPr="009E03B1" w:rsidRDefault="003E023F" w:rsidP="003E023F">
      <w:pPr>
        <w:rPr>
          <w:sz w:val="24"/>
          <w:szCs w:val="24"/>
          <w:lang w:val="ru-RU"/>
        </w:rPr>
      </w:pPr>
    </w:p>
    <w:p w:rsidR="003E023F" w:rsidRPr="009E03B1" w:rsidRDefault="003E023F" w:rsidP="003E023F">
      <w:pPr>
        <w:pStyle w:val="a4"/>
        <w:keepNext/>
        <w:numPr>
          <w:ilvl w:val="0"/>
          <w:numId w:val="3"/>
        </w:numPr>
        <w:tabs>
          <w:tab w:val="left" w:pos="567"/>
          <w:tab w:val="left" w:pos="851"/>
        </w:tabs>
        <w:suppressAutoHyphens w:val="0"/>
        <w:spacing w:after="240"/>
        <w:contextualSpacing w:val="0"/>
        <w:jc w:val="both"/>
        <w:rPr>
          <w:rFonts w:eastAsiaTheme="majorEastAsia"/>
          <w:b/>
          <w:color w:val="000000" w:themeColor="text1"/>
          <w:sz w:val="24"/>
          <w:szCs w:val="24"/>
          <w:lang w:val="ru-RU"/>
        </w:rPr>
      </w:pPr>
      <w:r w:rsidRPr="009E03B1">
        <w:rPr>
          <w:rFonts w:eastAsiaTheme="majorEastAsia"/>
          <w:b/>
          <w:color w:val="000000" w:themeColor="text1"/>
          <w:sz w:val="24"/>
          <w:szCs w:val="24"/>
          <w:lang w:val="ru-RU"/>
        </w:rPr>
        <w:t>ПЕРСОНАЛЬНЫЕ ДАННЫЕ</w:t>
      </w:r>
    </w:p>
    <w:p w:rsidR="003E023F" w:rsidRPr="009E03B1" w:rsidRDefault="003E023F" w:rsidP="003E023F">
      <w:pPr>
        <w:pStyle w:val="a4"/>
        <w:numPr>
          <w:ilvl w:val="1"/>
          <w:numId w:val="3"/>
        </w:numPr>
        <w:tabs>
          <w:tab w:val="left" w:pos="567"/>
        </w:tabs>
        <w:suppressAutoHyphens w:val="0"/>
        <w:spacing w:after="120"/>
        <w:contextualSpacing w:val="0"/>
        <w:jc w:val="both"/>
        <w:rPr>
          <w:rFonts w:eastAsiaTheme="majorEastAsia"/>
          <w:color w:val="000000" w:themeColor="text1"/>
          <w:sz w:val="24"/>
          <w:szCs w:val="24"/>
          <w:lang w:val="ru-RU"/>
        </w:rPr>
      </w:pPr>
      <w:r>
        <w:rPr>
          <w:rFonts w:eastAsiaTheme="majorEastAsia"/>
          <w:color w:val="000000" w:themeColor="text1"/>
          <w:sz w:val="24"/>
          <w:szCs w:val="24"/>
          <w:lang w:val="ru-RU"/>
        </w:rPr>
        <w:t>Каждая с</w:t>
      </w:r>
      <w:r w:rsidRPr="009E03B1">
        <w:rPr>
          <w:rFonts w:eastAsiaTheme="majorEastAsia"/>
          <w:color w:val="000000" w:themeColor="text1"/>
          <w:sz w:val="24"/>
          <w:szCs w:val="24"/>
          <w:lang w:val="ru-RU"/>
        </w:rPr>
        <w:t xml:space="preserve">торона обеспечивает и гарантирует правомерность передачи и обработки персональных данных в соответствии с требованиями применимого законодательства, </w:t>
      </w:r>
      <w:r>
        <w:rPr>
          <w:rFonts w:eastAsiaTheme="majorEastAsia"/>
          <w:color w:val="000000" w:themeColor="text1"/>
          <w:sz w:val="24"/>
          <w:szCs w:val="24"/>
          <w:lang w:val="ru-RU"/>
        </w:rPr>
        <w:t>а также уведомление передающей с</w:t>
      </w:r>
      <w:r w:rsidRPr="009E03B1">
        <w:rPr>
          <w:rFonts w:eastAsiaTheme="majorEastAsia"/>
          <w:color w:val="000000" w:themeColor="text1"/>
          <w:sz w:val="24"/>
          <w:szCs w:val="24"/>
          <w:lang w:val="ru-RU"/>
        </w:rPr>
        <w:t xml:space="preserve">тороной субъекта персональных данных об обработке, его </w:t>
      </w:r>
      <w:r>
        <w:rPr>
          <w:rFonts w:eastAsiaTheme="majorEastAsia"/>
          <w:color w:val="000000" w:themeColor="text1"/>
          <w:sz w:val="24"/>
          <w:szCs w:val="24"/>
          <w:lang w:val="ru-RU"/>
        </w:rPr>
        <w:t>персональных данных получающей стороной.</w:t>
      </w:r>
    </w:p>
    <w:p w:rsidR="003E023F" w:rsidRPr="009E03B1" w:rsidRDefault="003E023F" w:rsidP="003E023F">
      <w:pPr>
        <w:pStyle w:val="a4"/>
        <w:numPr>
          <w:ilvl w:val="0"/>
          <w:numId w:val="3"/>
        </w:numPr>
        <w:tabs>
          <w:tab w:val="left" w:pos="567"/>
          <w:tab w:val="left" w:pos="851"/>
        </w:tabs>
        <w:suppressAutoHyphens w:val="0"/>
        <w:spacing w:after="120"/>
        <w:contextualSpacing w:val="0"/>
        <w:jc w:val="both"/>
        <w:rPr>
          <w:rFonts w:eastAsiaTheme="majorEastAsia"/>
          <w:b/>
          <w:color w:val="000000" w:themeColor="text1"/>
          <w:sz w:val="24"/>
          <w:szCs w:val="24"/>
          <w:lang w:val="ru-RU"/>
        </w:rPr>
      </w:pPr>
      <w:r w:rsidRPr="009E03B1">
        <w:rPr>
          <w:rFonts w:eastAsiaTheme="majorEastAsia"/>
          <w:b/>
          <w:color w:val="000000" w:themeColor="text1"/>
          <w:sz w:val="24"/>
          <w:szCs w:val="24"/>
          <w:lang w:val="ru-RU"/>
        </w:rPr>
        <w:t>ПРОЧЕЕ</w:t>
      </w:r>
    </w:p>
    <w:p w:rsidR="003E023F" w:rsidRPr="00E114F9" w:rsidRDefault="00E114F9" w:rsidP="00E114F9">
      <w:pPr>
        <w:pStyle w:val="a4"/>
        <w:numPr>
          <w:ilvl w:val="1"/>
          <w:numId w:val="3"/>
        </w:numPr>
        <w:tabs>
          <w:tab w:val="left" w:pos="567"/>
        </w:tabs>
        <w:suppressAutoHyphens w:val="0"/>
        <w:spacing w:after="120"/>
        <w:contextualSpacing w:val="0"/>
        <w:jc w:val="both"/>
        <w:rPr>
          <w:rFonts w:eastAsiaTheme="majorEastAsia"/>
          <w:color w:val="000000" w:themeColor="text1"/>
          <w:sz w:val="24"/>
          <w:szCs w:val="24"/>
          <w:lang w:val="ru-RU"/>
        </w:rPr>
      </w:pPr>
      <w:r>
        <w:rPr>
          <w:rFonts w:eastAsiaTheme="majorEastAsia"/>
          <w:color w:val="000000" w:themeColor="text1"/>
          <w:sz w:val="24"/>
          <w:szCs w:val="24"/>
          <w:lang w:val="ru-RU"/>
        </w:rPr>
        <w:t xml:space="preserve">Организатор Акции вправе </w:t>
      </w:r>
      <w:r w:rsidR="003E023F" w:rsidRPr="00E114F9">
        <w:rPr>
          <w:rFonts w:eastAsiaTheme="majorEastAsia"/>
          <w:color w:val="000000" w:themeColor="text1"/>
          <w:sz w:val="24"/>
          <w:szCs w:val="24"/>
          <w:lang w:val="ru-RU"/>
        </w:rPr>
        <w:t>продлить настоящую Акцию и/или внести изменения в Правила ее проведения;</w:t>
      </w:r>
    </w:p>
    <w:p w:rsidR="003E023F" w:rsidRPr="007524F2" w:rsidRDefault="003E023F" w:rsidP="003E023F">
      <w:pPr>
        <w:pStyle w:val="a4"/>
        <w:numPr>
          <w:ilvl w:val="1"/>
          <w:numId w:val="3"/>
        </w:numPr>
        <w:tabs>
          <w:tab w:val="left" w:pos="567"/>
        </w:tabs>
        <w:suppressAutoHyphens w:val="0"/>
        <w:spacing w:before="120" w:after="120"/>
        <w:contextualSpacing w:val="0"/>
        <w:jc w:val="both"/>
        <w:rPr>
          <w:rFonts w:eastAsiaTheme="majorEastAsia"/>
          <w:color w:val="000000" w:themeColor="text1"/>
          <w:sz w:val="24"/>
          <w:szCs w:val="24"/>
          <w:lang w:val="ru-RU"/>
        </w:rPr>
      </w:pPr>
      <w:r w:rsidRPr="009E03B1">
        <w:rPr>
          <w:color w:val="000000" w:themeColor="text1"/>
          <w:sz w:val="24"/>
          <w:szCs w:val="24"/>
          <w:lang w:val="ru-RU"/>
        </w:rPr>
        <w:t>По вопросам, связанным с участием в Акции и получением Поощрения, Участники вправе обратиться в Банк, позвонив по номеру телефона горячей линии Банка – 0321</w:t>
      </w:r>
      <w:bookmarkStart w:id="2" w:name="move117271363"/>
      <w:bookmarkEnd w:id="2"/>
      <w:r>
        <w:rPr>
          <w:color w:val="000000" w:themeColor="text1"/>
          <w:sz w:val="24"/>
          <w:szCs w:val="24"/>
          <w:lang w:val="ru-RU"/>
        </w:rPr>
        <w:t xml:space="preserve">. </w:t>
      </w:r>
    </w:p>
    <w:p w:rsidR="003E023F" w:rsidRPr="009E03B1" w:rsidRDefault="003E023F" w:rsidP="003E023F">
      <w:pPr>
        <w:pStyle w:val="a4"/>
        <w:numPr>
          <w:ilvl w:val="1"/>
          <w:numId w:val="3"/>
        </w:numPr>
        <w:tabs>
          <w:tab w:val="left" w:pos="567"/>
        </w:tabs>
        <w:suppressAutoHyphens w:val="0"/>
        <w:spacing w:before="120" w:after="120"/>
        <w:contextualSpacing w:val="0"/>
        <w:jc w:val="both"/>
        <w:rPr>
          <w:rFonts w:eastAsiaTheme="majorEastAsia"/>
          <w:color w:val="000000" w:themeColor="text1"/>
          <w:sz w:val="24"/>
          <w:szCs w:val="24"/>
          <w:lang w:val="ru-RU"/>
        </w:rPr>
      </w:pPr>
      <w:r w:rsidRPr="009E03B1">
        <w:rPr>
          <w:rFonts w:eastAsiaTheme="majorEastAsia"/>
          <w:color w:val="000000" w:themeColor="text1"/>
          <w:sz w:val="24"/>
          <w:szCs w:val="24"/>
          <w:lang w:val="ru-RU"/>
        </w:rPr>
        <w:t>Банк не несет ответственности за ошибки/сбои при передаче данных через Интернет по вине организаций связи, в результате технических проблем и/или мошенничества в сети Интернет и/или в каналах связи, используемых при проведении Акции, а также при возникновении ошибок по иным причинам, не зависящим от Банка.</w:t>
      </w:r>
    </w:p>
    <w:p w:rsidR="00D95CFA" w:rsidRPr="009B6CE2" w:rsidRDefault="00D95CFA">
      <w:pPr>
        <w:rPr>
          <w:rFonts w:eastAsiaTheme="majorEastAsia"/>
          <w:sz w:val="24"/>
          <w:szCs w:val="24"/>
          <w:lang w:val="ru-RU"/>
        </w:rPr>
      </w:pPr>
    </w:p>
    <w:sectPr w:rsidR="00D95CFA" w:rsidRPr="009B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3D30BB5A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940B9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C32437E"/>
    <w:multiLevelType w:val="multilevel"/>
    <w:tmpl w:val="0419001F"/>
    <w:numStyleLink w:val="111111"/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imes New Roman" w:hAnsi="Times New Roman" w:cs="Times New Roman" w:hint="default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1"/>
          </w:tabs>
          <w:ind w:left="1355" w:hanging="504"/>
        </w:pPr>
        <w:rPr>
          <w:rFonts w:ascii="Times New Roman" w:hAnsi="Times New Roman" w:cs="Times New Roman" w:hint="default"/>
          <w:color w:val="auto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7"/>
          </w:tabs>
          <w:ind w:left="857" w:hanging="432"/>
        </w:pPr>
        <w:rPr>
          <w:rFonts w:ascii="Times New Roman" w:hAnsi="Times New Roman" w:cs="Times New Roman" w:hint="default"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1"/>
          </w:tabs>
          <w:ind w:left="1355" w:hanging="504"/>
        </w:pPr>
        <w:rPr>
          <w:rFonts w:ascii="Times New Roman" w:hAnsi="Times New Roman" w:cs="Times New Roman" w:hint="default"/>
          <w:color w:val="auto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17"/>
    <w:rsid w:val="00374E76"/>
    <w:rsid w:val="003E023F"/>
    <w:rsid w:val="005161D6"/>
    <w:rsid w:val="00593BD8"/>
    <w:rsid w:val="00816A5F"/>
    <w:rsid w:val="008B6656"/>
    <w:rsid w:val="00930A8B"/>
    <w:rsid w:val="0093463A"/>
    <w:rsid w:val="00967117"/>
    <w:rsid w:val="009B6CE2"/>
    <w:rsid w:val="00BE34A8"/>
    <w:rsid w:val="00C631C3"/>
    <w:rsid w:val="00D25567"/>
    <w:rsid w:val="00D95CFA"/>
    <w:rsid w:val="00E114F9"/>
    <w:rsid w:val="00E5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DFD4"/>
  <w15:chartTrackingRefBased/>
  <w15:docId w15:val="{BB7EF6D9-3056-4750-9AE2-19693F32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B6CE2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CE2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CE2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CE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CE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CE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CE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CE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CE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2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B6C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9B6C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9B6CE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9B6CE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50">
    <w:name w:val="Заголовок 5 Знак"/>
    <w:basedOn w:val="a0"/>
    <w:link w:val="5"/>
    <w:uiPriority w:val="9"/>
    <w:semiHidden/>
    <w:rsid w:val="009B6CE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character" w:customStyle="1" w:styleId="60">
    <w:name w:val="Заголовок 6 Знак"/>
    <w:basedOn w:val="a0"/>
    <w:link w:val="6"/>
    <w:uiPriority w:val="9"/>
    <w:semiHidden/>
    <w:rsid w:val="009B6CE2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9B6CE2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9B6CE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9B6C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заголовок,Абзац 1,Абзац"/>
    <w:basedOn w:val="a"/>
    <w:link w:val="a5"/>
    <w:uiPriority w:val="34"/>
    <w:qFormat/>
    <w:rsid w:val="009B6CE2"/>
    <w:pPr>
      <w:ind w:left="720"/>
      <w:contextualSpacing/>
    </w:p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locked/>
    <w:rsid w:val="009B6CE2"/>
    <w:rPr>
      <w:rFonts w:ascii="Times New Roman" w:eastAsia="Times New Roman" w:hAnsi="Times New Roman" w:cs="Times New Roman"/>
      <w:sz w:val="20"/>
      <w:szCs w:val="20"/>
      <w:lang w:val="en-GB"/>
    </w:rPr>
  </w:style>
  <w:style w:type="numbering" w:styleId="111111">
    <w:name w:val="Outline List 2"/>
    <w:basedOn w:val="a2"/>
    <w:rsid w:val="009B6CE2"/>
    <w:pPr>
      <w:numPr>
        <w:numId w:val="1"/>
      </w:numPr>
    </w:pPr>
  </w:style>
  <w:style w:type="character" w:styleId="a6">
    <w:name w:val="Hyperlink"/>
    <w:basedOn w:val="a0"/>
    <w:rsid w:val="009B6CE2"/>
    <w:rPr>
      <w:color w:val="0563C1"/>
      <w:u w:val="single"/>
    </w:rPr>
  </w:style>
  <w:style w:type="character" w:styleId="a7">
    <w:name w:val="annotation reference"/>
    <w:basedOn w:val="a0"/>
    <w:uiPriority w:val="99"/>
    <w:unhideWhenUsed/>
    <w:rsid w:val="009B6CE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rsid w:val="009B6CE2"/>
  </w:style>
  <w:style w:type="character" w:customStyle="1" w:styleId="a9">
    <w:name w:val="Текст примечания Знак"/>
    <w:basedOn w:val="a0"/>
    <w:link w:val="a8"/>
    <w:uiPriority w:val="99"/>
    <w:rsid w:val="009B6C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9B6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6CE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6CE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.com/ru/s_m_business/spasib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erbank.ru/ru/s_m_business/spasib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C000-4AAE-4595-9C87-8D9DBD2E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Потехина Вера Андреевна</dc:creator>
  <cp:keywords/>
  <dc:description/>
  <cp:lastModifiedBy>Потехина Вера Андреевна</cp:lastModifiedBy>
  <cp:revision>8</cp:revision>
  <dcterms:created xsi:type="dcterms:W3CDTF">2025-09-10T13:49:00Z</dcterms:created>
  <dcterms:modified xsi:type="dcterms:W3CDTF">2025-09-23T11:50:00Z</dcterms:modified>
</cp:coreProperties>
</file>